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DE03AF" w:rsidTr="00F83C6B">
        <w:tc>
          <w:tcPr>
            <w:tcW w:w="9288" w:type="dxa"/>
            <w:gridSpan w:val="2"/>
            <w:shd w:val="clear" w:color="auto" w:fill="FF0000"/>
          </w:tcPr>
          <w:p w:rsidR="001D6575" w:rsidRPr="004E4D34" w:rsidRDefault="001D6575" w:rsidP="00F83C6B">
            <w:pPr>
              <w:jc w:val="center"/>
              <w:rPr>
                <w:rFonts w:ascii="Arial" w:hAnsi="Arial" w:cs="Arial"/>
                <w:b/>
                <w:color w:val="FFFFFF"/>
                <w:sz w:val="36"/>
                <w:szCs w:val="36"/>
                <w:lang w:val="en-US"/>
              </w:rPr>
            </w:pPr>
            <w:r>
              <w:rPr>
                <w:rFonts w:ascii="Arial" w:hAnsi="Arial" w:cs="Arial"/>
                <w:b/>
                <w:bCs/>
                <w:color w:val="FFFFFF"/>
                <w:sz w:val="36"/>
                <w:szCs w:val="36"/>
                <w:lang w:val="es-ES"/>
              </w:rPr>
              <w:t>Instrucciones de servicio</w:t>
            </w:r>
          </w:p>
          <w:p w:rsidR="001D6575" w:rsidRPr="004E4D34" w:rsidRDefault="001D6575" w:rsidP="00984DB3">
            <w:pPr>
              <w:jc w:val="center"/>
              <w:rPr>
                <w:rFonts w:ascii="Arial" w:hAnsi="Arial" w:cs="Arial"/>
                <w:color w:val="FFFFFF"/>
                <w:spacing w:val="14"/>
                <w:sz w:val="18"/>
                <w:szCs w:val="18"/>
                <w:shd w:val="clear" w:color="auto" w:fill="FE0000"/>
                <w:lang w:val="en-US"/>
              </w:rPr>
            </w:pPr>
            <w:r>
              <w:rPr>
                <w:rFonts w:ascii="Arial" w:hAnsi="Arial" w:cs="Arial"/>
                <w:color w:val="FFFFFF"/>
                <w:sz w:val="18"/>
                <w:szCs w:val="18"/>
                <w:shd w:val="clear" w:color="auto" w:fill="FE0000"/>
                <w:lang w:val="es-ES"/>
              </w:rPr>
              <w:t xml:space="preserve">con arreglo al § 14 de la Ordenanza sobre Sustancias Peligrosas (GefStoffV) </w:t>
            </w:r>
          </w:p>
        </w:tc>
      </w:tr>
      <w:tr w:rsidR="001D6575" w:rsidRPr="00F83C6B" w:rsidTr="00F83C6B">
        <w:tc>
          <w:tcPr>
            <w:tcW w:w="2025" w:type="dxa"/>
            <w:tcBorders>
              <w:bottom w:val="single" w:sz="4" w:space="0" w:color="auto"/>
            </w:tcBorders>
            <w:shd w:val="clear" w:color="auto" w:fill="auto"/>
          </w:tcPr>
          <w:p w:rsidR="001D6575" w:rsidRPr="00DE03AF" w:rsidRDefault="001D6575" w:rsidP="00C839E1">
            <w:pPr>
              <w:rPr>
                <w:rFonts w:ascii="Arial" w:hAnsi="Arial" w:cs="Arial"/>
                <w:b/>
                <w:sz w:val="20"/>
                <w:szCs w:val="20"/>
                <w:lang w:val="en-US"/>
              </w:rPr>
            </w:pPr>
            <w:r w:rsidRPr="00DE03AF">
              <w:rPr>
                <w:rFonts w:ascii="Arial" w:hAnsi="Arial" w:cs="Arial"/>
                <w:b/>
                <w:bCs/>
                <w:sz w:val="20"/>
                <w:szCs w:val="20"/>
                <w:lang w:val="es-ES"/>
              </w:rPr>
              <w:t>Área de trabajo:</w:t>
            </w:r>
          </w:p>
          <w:p w:rsidR="001D6575" w:rsidRPr="00DE03AF" w:rsidRDefault="001D6575" w:rsidP="00C839E1">
            <w:pPr>
              <w:rPr>
                <w:rFonts w:ascii="Arial" w:hAnsi="Arial" w:cs="Arial"/>
                <w:b/>
                <w:sz w:val="20"/>
                <w:szCs w:val="20"/>
                <w:lang w:val="en-US"/>
              </w:rPr>
            </w:pPr>
            <w:r w:rsidRPr="00DE03AF">
              <w:rPr>
                <w:rFonts w:ascii="Arial" w:hAnsi="Arial" w:cs="Arial"/>
                <w:b/>
                <w:bCs/>
                <w:sz w:val="20"/>
                <w:szCs w:val="20"/>
                <w:lang w:val="es-ES"/>
              </w:rPr>
              <w:t>Puesto de trabajo:</w:t>
            </w:r>
          </w:p>
          <w:p w:rsidR="001D6575" w:rsidRPr="00F83C6B" w:rsidRDefault="001D6575" w:rsidP="00C839E1">
            <w:pPr>
              <w:rPr>
                <w:rFonts w:ascii="Arial" w:hAnsi="Arial" w:cs="Arial"/>
              </w:rPr>
            </w:pPr>
            <w:r w:rsidRPr="00DE03AF">
              <w:rPr>
                <w:rFonts w:ascii="Arial" w:hAnsi="Arial" w:cs="Arial"/>
                <w:b/>
                <w:bCs/>
                <w:sz w:val="20"/>
                <w:szCs w:val="20"/>
                <w:lang w:val="es-ES"/>
              </w:rPr>
              <w:t>Actividad:</w:t>
            </w:r>
          </w:p>
        </w:tc>
        <w:tc>
          <w:tcPr>
            <w:tcW w:w="7263" w:type="dxa"/>
            <w:tcBorders>
              <w:bottom w:val="single" w:sz="4" w:space="0" w:color="auto"/>
            </w:tcBorders>
            <w:shd w:val="clear" w:color="auto" w:fill="auto"/>
          </w:tcPr>
          <w:p w:rsidR="001D6575" w:rsidRPr="00F83C6B" w:rsidRDefault="001D6575" w:rsidP="00C839E1">
            <w:pPr>
              <w:rPr>
                <w:rFonts w:ascii="Arial" w:hAnsi="Arial" w:cs="Arial"/>
              </w:rPr>
            </w:pPr>
          </w:p>
        </w:tc>
      </w:tr>
      <w:tr w:rsidR="001D6575" w:rsidRPr="00DE03AF" w:rsidTr="00F83C6B">
        <w:tc>
          <w:tcPr>
            <w:tcW w:w="9288" w:type="dxa"/>
            <w:gridSpan w:val="2"/>
            <w:shd w:val="clear" w:color="auto" w:fill="FF0000"/>
          </w:tcPr>
          <w:p w:rsidR="001D6575" w:rsidRPr="004E4D34"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s-ES"/>
              </w:rPr>
              <w:t>Denominación de la sustancia peligrosa</w:t>
            </w:r>
          </w:p>
        </w:tc>
      </w:tr>
      <w:tr w:rsidR="001D6575" w:rsidRPr="00F83C6B" w:rsidTr="00F83C6B">
        <w:tc>
          <w:tcPr>
            <w:tcW w:w="9288" w:type="dxa"/>
            <w:gridSpan w:val="2"/>
            <w:tcBorders>
              <w:bottom w:val="single" w:sz="4" w:space="0" w:color="auto"/>
            </w:tcBorders>
            <w:shd w:val="clear" w:color="auto" w:fill="auto"/>
          </w:tcPr>
          <w:p w:rsidR="001D6575" w:rsidRPr="00F83C6B" w:rsidRDefault="00984DB3" w:rsidP="00F83C6B">
            <w:pPr>
              <w:jc w:val="center"/>
              <w:rPr>
                <w:rFonts w:ascii="Arial" w:hAnsi="Arial" w:cs="Arial"/>
                <w:b/>
                <w:bCs/>
                <w:spacing w:val="2"/>
                <w:sz w:val="40"/>
                <w:szCs w:val="40"/>
              </w:rPr>
            </w:pPr>
            <w:r>
              <w:rPr>
                <w:rFonts w:ascii="Helvetica-Bold" w:hAnsi="Helvetica-Bold" w:cs="Helvetica-Bold"/>
                <w:b/>
                <w:bCs/>
                <w:sz w:val="40"/>
                <w:szCs w:val="40"/>
                <w:lang w:val="es-ES"/>
              </w:rPr>
              <w:t>Cleanet</w:t>
            </w:r>
            <w:r>
              <w:rPr>
                <w:rFonts w:ascii="Helvetica-Bold" w:hAnsi="Helvetica-Bold" w:cs="Helvetica-Bold"/>
                <w:b/>
                <w:bCs/>
                <w:sz w:val="40"/>
                <w:szCs w:val="40"/>
                <w:vertAlign w:val="superscript"/>
                <w:lang w:val="es-ES"/>
              </w:rPr>
              <w:t>®</w:t>
            </w:r>
            <w:r>
              <w:rPr>
                <w:rFonts w:ascii="Helvetica-Bold" w:hAnsi="Helvetica-Bold" w:cs="Helvetica-Bold"/>
                <w:b/>
                <w:bCs/>
                <w:sz w:val="40"/>
                <w:szCs w:val="40"/>
                <w:lang w:val="es-ES"/>
              </w:rPr>
              <w:t xml:space="preserve"> GR 11</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s-ES"/>
              </w:rPr>
              <w:t>Riesgos para las personas y para el medioambiente</w:t>
            </w:r>
          </w:p>
        </w:tc>
      </w:tr>
      <w:tr w:rsidR="001D6575" w:rsidRPr="00F83C6B" w:rsidTr="00F83C6B">
        <w:trPr>
          <w:trHeight w:val="701"/>
        </w:trPr>
        <w:tc>
          <w:tcPr>
            <w:tcW w:w="2025" w:type="dxa"/>
            <w:tcBorders>
              <w:bottom w:val="single" w:sz="4" w:space="0" w:color="auto"/>
            </w:tcBorders>
            <w:shd w:val="clear" w:color="auto" w:fill="auto"/>
          </w:tcPr>
          <w:p w:rsidR="001E2CF2" w:rsidRPr="00F83C6B" w:rsidRDefault="001E2CF2" w:rsidP="00984DB3">
            <w:pPr>
              <w:rPr>
                <w:rFonts w:ascii="Arial" w:hAnsi="Arial" w:cs="Arial"/>
              </w:rPr>
            </w:pPr>
            <w:bookmarkStart w:id="0" w:name="_GoBack"/>
          </w:p>
        </w:tc>
        <w:tc>
          <w:tcPr>
            <w:tcW w:w="7263" w:type="dxa"/>
            <w:tcBorders>
              <w:bottom w:val="single" w:sz="4" w:space="0" w:color="auto"/>
            </w:tcBorders>
            <w:shd w:val="clear" w:color="auto" w:fill="auto"/>
          </w:tcPr>
          <w:p w:rsidR="001E2CF2" w:rsidRDefault="001E2CF2" w:rsidP="00645973">
            <w:pPr>
              <w:rPr>
                <w:rFonts w:ascii="Arial" w:hAnsi="Arial" w:cs="Arial"/>
                <w:spacing w:val="2"/>
                <w:sz w:val="18"/>
                <w:szCs w:val="18"/>
              </w:rPr>
            </w:pPr>
          </w:p>
          <w:p w:rsidR="001E2CF2" w:rsidRPr="00F83C6B" w:rsidRDefault="001E2CF2" w:rsidP="00645973">
            <w:pPr>
              <w:rPr>
                <w:rFonts w:ascii="Arial" w:hAnsi="Arial" w:cs="Arial"/>
                <w:spacing w:val="2"/>
                <w:sz w:val="18"/>
                <w:szCs w:val="18"/>
              </w:rPr>
            </w:pPr>
            <w:r>
              <w:rPr>
                <w:rFonts w:ascii="Arial" w:hAnsi="Arial" w:cs="Arial"/>
                <w:sz w:val="18"/>
                <w:szCs w:val="18"/>
                <w:lang w:val="es-ES"/>
              </w:rPr>
              <w:t>-</w:t>
            </w:r>
          </w:p>
        </w:tc>
      </w:tr>
      <w:bookmarkEnd w:id="0"/>
      <w:tr w:rsidR="001D6575" w:rsidRPr="00DE03AF" w:rsidTr="00F83C6B">
        <w:trPr>
          <w:trHeight w:val="248"/>
        </w:trPr>
        <w:tc>
          <w:tcPr>
            <w:tcW w:w="9288" w:type="dxa"/>
            <w:gridSpan w:val="2"/>
            <w:shd w:val="clear" w:color="auto" w:fill="FF0000"/>
          </w:tcPr>
          <w:p w:rsidR="001D6575" w:rsidRPr="004E4D34"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s-ES"/>
              </w:rPr>
              <w:t>Medidas de protección y normas de comportamiento</w:t>
            </w:r>
          </w:p>
        </w:tc>
      </w:tr>
      <w:tr w:rsidR="001D6575" w:rsidRPr="00DE03AF" w:rsidTr="00F83C6B">
        <w:tc>
          <w:tcPr>
            <w:tcW w:w="2025" w:type="dxa"/>
            <w:tcBorders>
              <w:bottom w:val="single" w:sz="4" w:space="0" w:color="auto"/>
            </w:tcBorders>
            <w:shd w:val="clear" w:color="auto" w:fill="auto"/>
          </w:tcPr>
          <w:p w:rsidR="00AE17C9" w:rsidRDefault="00984DB3" w:rsidP="00AE17C9">
            <w:r>
              <w:rPr>
                <w:noProof/>
                <w:lang w:val="es-ES"/>
              </w:rPr>
              <w:drawing>
                <wp:inline distT="0" distB="0" distL="0" distR="0">
                  <wp:extent cx="523875" cy="523875"/>
                  <wp:effectExtent l="0" t="0" r="9525"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lang w:val="es-ES"/>
              </w:rPr>
              <w:drawing>
                <wp:inline distT="0" distB="0" distL="0" distR="0">
                  <wp:extent cx="514350" cy="51435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E17C9" w:rsidRDefault="00AE17C9" w:rsidP="00AE17C9">
            <w:pPr>
              <w:rPr>
                <w:noProof/>
              </w:rPr>
            </w:pPr>
          </w:p>
          <w:p w:rsidR="00232051" w:rsidRPr="00F83C6B" w:rsidRDefault="00984DB3" w:rsidP="00AE17C9">
            <w:pPr>
              <w:rPr>
                <w:rFonts w:ascii="Arial" w:hAnsi="Arial" w:cs="Arial"/>
              </w:rPr>
            </w:pPr>
            <w:r>
              <w:rPr>
                <w:noProof/>
                <w:lang w:val="es-ES"/>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4E4D34" w:rsidRDefault="00984DB3" w:rsidP="00984DB3">
            <w:pPr>
              <w:jc w:val="both"/>
              <w:rPr>
                <w:rFonts w:ascii="Arial" w:hAnsi="Arial" w:cs="Arial"/>
                <w:spacing w:val="2"/>
                <w:sz w:val="20"/>
                <w:szCs w:val="20"/>
                <w:lang w:val="en-US"/>
              </w:rPr>
            </w:pPr>
            <w:r>
              <w:rPr>
                <w:rFonts w:ascii="Arial" w:hAnsi="Arial" w:cs="Arial"/>
                <w:sz w:val="20"/>
                <w:szCs w:val="20"/>
                <w:lang w:val="es-ES"/>
              </w:rPr>
              <w:t>Garantice una buena ventilación en el puesto de trabajo. No fume, ni coma ni beba en los espacios de trabajo ni en los almacenes. Tampoco almacene alimentos, bebidas o tabaco. Equipo de protección obligatorio: - Gafas de protección o protección facial Informe inmediatamente a su supervisor de cualquier avería. Realice las reparaciones correctamente y con precaución. Las tuberías deben vaciarse completamente. Al trasvasarlo, evite que se evapore o que se produzcan salpicaduras. Transporte los recipientes frágiles que contengan la sustancia dentro de otro recipiente (p. ej., un cubo de plástico con asa). Trasváselo únicamente a recipientes limpios y resistentes a soluciones alcalinas.</w:t>
            </w:r>
          </w:p>
        </w:tc>
      </w:tr>
      <w:tr w:rsidR="001D6575" w:rsidRPr="00DE03AF" w:rsidTr="00F83C6B">
        <w:tc>
          <w:tcPr>
            <w:tcW w:w="9288" w:type="dxa"/>
            <w:gridSpan w:val="2"/>
            <w:shd w:val="clear" w:color="auto" w:fill="FF0000"/>
          </w:tcPr>
          <w:p w:rsidR="001D6575" w:rsidRPr="004E4D34"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es-ES"/>
              </w:rPr>
              <w:t>Comportamiento en caso de peligro</w:t>
            </w:r>
          </w:p>
        </w:tc>
      </w:tr>
      <w:tr w:rsidR="001D6575" w:rsidRPr="00DE03AF" w:rsidTr="00F83C6B">
        <w:tc>
          <w:tcPr>
            <w:tcW w:w="2025" w:type="dxa"/>
            <w:tcBorders>
              <w:bottom w:val="single" w:sz="4" w:space="0" w:color="auto"/>
            </w:tcBorders>
            <w:shd w:val="clear" w:color="auto" w:fill="auto"/>
          </w:tcPr>
          <w:p w:rsidR="009E4313" w:rsidRPr="004E4D34" w:rsidRDefault="009E4313" w:rsidP="00C839E1">
            <w:pPr>
              <w:rPr>
                <w:noProof/>
                <w:lang w:val="en-US"/>
              </w:rPr>
            </w:pPr>
          </w:p>
          <w:p w:rsidR="001D6575" w:rsidRPr="004E4D34" w:rsidRDefault="001D6575" w:rsidP="00C839E1">
            <w:pPr>
              <w:rPr>
                <w:rFonts w:ascii="Arial" w:hAnsi="Arial" w:cs="Arial"/>
                <w:lang w:val="en-US"/>
              </w:rPr>
            </w:pPr>
          </w:p>
        </w:tc>
        <w:tc>
          <w:tcPr>
            <w:tcW w:w="7263" w:type="dxa"/>
            <w:tcBorders>
              <w:bottom w:val="single" w:sz="4" w:space="0" w:color="auto"/>
            </w:tcBorders>
            <w:shd w:val="clear" w:color="auto" w:fill="auto"/>
          </w:tcPr>
          <w:p w:rsidR="00984DB3" w:rsidRPr="004E4D34" w:rsidRDefault="00984DB3" w:rsidP="00984DB3">
            <w:pPr>
              <w:jc w:val="both"/>
              <w:rPr>
                <w:rFonts w:ascii="Arial" w:hAnsi="Arial" w:cs="Arial"/>
                <w:spacing w:val="2"/>
                <w:sz w:val="20"/>
                <w:szCs w:val="20"/>
                <w:lang w:val="en-US"/>
              </w:rPr>
            </w:pPr>
            <w:r>
              <w:rPr>
                <w:rFonts w:ascii="Arial" w:hAnsi="Arial" w:cs="Arial"/>
                <w:sz w:val="20"/>
                <w:szCs w:val="20"/>
                <w:lang w:val="es-ES"/>
              </w:rPr>
              <w:t>En caso de incendio, siga estrictamente los procedimientos de la empresa.</w:t>
            </w:r>
          </w:p>
          <w:p w:rsidR="00984DB3" w:rsidRPr="004E4D34" w:rsidRDefault="00984DB3" w:rsidP="00984DB3">
            <w:pPr>
              <w:jc w:val="both"/>
              <w:rPr>
                <w:rFonts w:ascii="Arial" w:hAnsi="Arial" w:cs="Arial"/>
                <w:spacing w:val="2"/>
                <w:sz w:val="20"/>
                <w:szCs w:val="20"/>
                <w:lang w:val="en-US"/>
              </w:rPr>
            </w:pPr>
            <w:r>
              <w:rPr>
                <w:rFonts w:ascii="Arial" w:hAnsi="Arial"/>
                <w:sz w:val="20"/>
                <w:szCs w:val="20"/>
                <w:lang w:val="es-ES"/>
              </w:rPr>
              <w:t>Extinga los pequeños incendios con un extintor de CO2 o de polvo o mediante aspersión de agua. Si es posible, di</w:t>
            </w:r>
            <w:r>
              <w:rPr>
                <w:lang w:val="es-ES"/>
              </w:rPr>
              <w:t xml:space="preserve"> </w:t>
            </w:r>
            <w:r>
              <w:rPr>
                <w:rFonts w:ascii="Arial" w:hAnsi="Arial"/>
                <w:sz w:val="20"/>
                <w:szCs w:val="20"/>
                <w:lang w:val="es-ES"/>
              </w:rPr>
              <w:t>luya con abundante agua. Evite la inhalación de polvo, vapores o gases de combustión - Utilice un equipo de respiración.</w:t>
            </w:r>
          </w:p>
          <w:p w:rsidR="001D6575" w:rsidRPr="004E4D34" w:rsidRDefault="00984DB3" w:rsidP="00984DB3">
            <w:pPr>
              <w:jc w:val="both"/>
              <w:rPr>
                <w:rFonts w:ascii="Arial" w:hAnsi="Arial" w:cs="Arial"/>
                <w:spacing w:val="2"/>
                <w:sz w:val="18"/>
                <w:szCs w:val="18"/>
                <w:lang w:val="en-US"/>
              </w:rPr>
            </w:pPr>
            <w:r>
              <w:rPr>
                <w:rFonts w:ascii="Arial" w:hAnsi="Arial" w:cs="Arial"/>
                <w:sz w:val="20"/>
                <w:szCs w:val="20"/>
                <w:lang w:val="es-ES"/>
              </w:rPr>
              <w:t>Si se producen fugas o derrames de líquidos, informe inmediatamente a su supervisor o a la dirección de la empresa.</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s-ES"/>
              </w:rPr>
              <w:t>Primeros auxilios</w:t>
            </w:r>
          </w:p>
        </w:tc>
      </w:tr>
      <w:tr w:rsidR="00044630" w:rsidRPr="00F83C6B" w:rsidTr="00F83C6B">
        <w:tc>
          <w:tcPr>
            <w:tcW w:w="2025" w:type="dxa"/>
            <w:vMerge w:val="restart"/>
            <w:shd w:val="clear" w:color="auto" w:fill="auto"/>
          </w:tcPr>
          <w:p w:rsidR="00044630" w:rsidRPr="00F83C6B" w:rsidRDefault="00984DB3" w:rsidP="00C839E1">
            <w:pPr>
              <w:rPr>
                <w:rFonts w:ascii="Arial" w:hAnsi="Arial" w:cs="Arial"/>
              </w:rPr>
            </w:pPr>
            <w:r>
              <w:rPr>
                <w:noProof/>
                <w:lang w:val="es-ES"/>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984DB3" w:rsidRPr="004E4D34" w:rsidRDefault="00984DB3" w:rsidP="00984DB3">
            <w:pPr>
              <w:jc w:val="both"/>
              <w:rPr>
                <w:rFonts w:ascii="Arial" w:hAnsi="Arial" w:cs="Arial"/>
                <w:spacing w:val="2"/>
                <w:sz w:val="20"/>
                <w:szCs w:val="20"/>
                <w:lang w:val="en-US"/>
              </w:rPr>
            </w:pPr>
            <w:r>
              <w:rPr>
                <w:rFonts w:ascii="Arial" w:hAnsi="Arial" w:cs="Arial"/>
                <w:sz w:val="20"/>
                <w:szCs w:val="20"/>
                <w:lang w:val="es-ES"/>
              </w:rPr>
              <w:t>Lave bien la piel afectada con agua y jabón. Si hay grandes áreas de piel humedecida, enjuáguese inmediatamente con una ducha de emergencia y quítese la ropa</w:t>
            </w:r>
          </w:p>
          <w:p w:rsidR="00F54AD6" w:rsidRPr="00984DB3" w:rsidRDefault="00984DB3" w:rsidP="00984DB3">
            <w:pPr>
              <w:jc w:val="both"/>
              <w:rPr>
                <w:rFonts w:ascii="Arial" w:hAnsi="Arial" w:cs="Arial"/>
                <w:spacing w:val="2"/>
                <w:sz w:val="20"/>
                <w:szCs w:val="20"/>
              </w:rPr>
            </w:pPr>
            <w:r>
              <w:rPr>
                <w:rFonts w:ascii="Arial" w:hAnsi="Arial" w:cs="Arial"/>
                <w:sz w:val="20"/>
                <w:szCs w:val="20"/>
                <w:lang w:val="es-ES"/>
              </w:rPr>
              <w:t>humedecida con cuidado. A continuación, lave la piel con abundante agua y, si es necesario, trátela con una solución como Diphotérine. En caso de que se produzcan quemaduras, enfríe la piel con agua fría hasta que el dolor desaparezca. No vende las quemaduras en la cara y en los ojos. Busque atención médica. En caso de contacto con los ojos, enjuague inmediatamente con agua durante varios minutos y notifíquelo a su supervisor. Después de que haya sido atendido por el médico de la empresa, acuda a un oftalmólogo. En caso de ingestión, beba mucha agua y, si es posible, con carbón activado. Si es posible, evite vomitar. En caso de inconsciencia, tienda a la persona de lado en posición de recuperación. Avise a un médico o busque atención médica. En caso de inhalación, proporcione aire fresco, reposo y calor. Si es necesario, póngase en contacto con un médico.</w:t>
            </w: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4E4D34" w:rsidRDefault="00044630" w:rsidP="00F83C6B">
            <w:pPr>
              <w:jc w:val="both"/>
              <w:rPr>
                <w:rFonts w:ascii="Arial" w:hAnsi="Arial" w:cs="Arial"/>
                <w:b/>
                <w:bCs/>
                <w:sz w:val="18"/>
                <w:szCs w:val="18"/>
                <w:lang w:val="en-US"/>
              </w:rPr>
            </w:pPr>
            <w:r>
              <w:rPr>
                <w:rFonts w:ascii="Arial" w:hAnsi="Arial" w:cs="Arial"/>
                <w:b/>
                <w:bCs/>
                <w:sz w:val="18"/>
                <w:szCs w:val="18"/>
                <w:lang w:val="es-ES"/>
              </w:rPr>
              <w:t xml:space="preserve">En casos de emergencia: </w:t>
            </w:r>
          </w:p>
          <w:p w:rsidR="00044630" w:rsidRPr="004E4D34" w:rsidRDefault="00044630" w:rsidP="00F83C6B">
            <w:pPr>
              <w:jc w:val="both"/>
              <w:rPr>
                <w:rFonts w:ascii="Arial" w:hAnsi="Arial" w:cs="Arial"/>
                <w:b/>
                <w:bCs/>
                <w:sz w:val="18"/>
                <w:szCs w:val="18"/>
                <w:lang w:val="en-US"/>
              </w:rPr>
            </w:pPr>
          </w:p>
          <w:p w:rsidR="00044630" w:rsidRPr="004E4D34" w:rsidRDefault="00044630" w:rsidP="00F83C6B">
            <w:pPr>
              <w:jc w:val="both"/>
              <w:rPr>
                <w:rFonts w:ascii="Arial" w:hAnsi="Arial" w:cs="Arial"/>
                <w:b/>
                <w:bCs/>
                <w:spacing w:val="-2"/>
                <w:sz w:val="18"/>
                <w:szCs w:val="18"/>
                <w:lang w:val="en-US"/>
              </w:rPr>
            </w:pPr>
            <w:r>
              <w:rPr>
                <w:rFonts w:ascii="Arial" w:hAnsi="Arial" w:cs="Arial"/>
                <w:b/>
                <w:bCs/>
                <w:sz w:val="18"/>
                <w:szCs w:val="18"/>
                <w:lang w:val="es-ES"/>
              </w:rPr>
              <w:t>Médico responsable de primeros auxilios</w:t>
            </w:r>
          </w:p>
          <w:p w:rsidR="00044630" w:rsidRPr="00F83C6B" w:rsidRDefault="00044630" w:rsidP="00C839E1">
            <w:pPr>
              <w:rPr>
                <w:rFonts w:ascii="Arial" w:hAnsi="Arial" w:cs="Arial"/>
                <w:b/>
                <w:bCs/>
                <w:sz w:val="18"/>
                <w:szCs w:val="18"/>
              </w:rPr>
            </w:pPr>
            <w:r>
              <w:rPr>
                <w:rFonts w:ascii="Arial" w:hAnsi="Arial" w:cs="Arial"/>
                <w:b/>
                <w:bCs/>
                <w:sz w:val="18"/>
                <w:szCs w:val="18"/>
                <w:lang w:val="es-ES"/>
              </w:rPr>
              <w:t>Teléfono de urgencias</w:t>
            </w:r>
          </w:p>
          <w:p w:rsidR="00044630" w:rsidRPr="00F83C6B" w:rsidRDefault="00044630" w:rsidP="00C839E1">
            <w:pPr>
              <w:rPr>
                <w:rFonts w:ascii="Arial" w:hAnsi="Arial" w:cs="Arial"/>
                <w:bCs/>
                <w:sz w:val="18"/>
                <w:szCs w:val="18"/>
              </w:rPr>
            </w:pPr>
            <w:r>
              <w:rPr>
                <w:rFonts w:ascii="Arial" w:hAnsi="Arial" w:cs="Arial"/>
                <w:b/>
                <w:bCs/>
                <w:sz w:val="18"/>
                <w:szCs w:val="18"/>
                <w:lang w:val="es-ES"/>
              </w:rPr>
              <w:t>Bomberos</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es-ES"/>
              </w:rPr>
              <w:t>Eliminación adecuada</w:t>
            </w:r>
          </w:p>
        </w:tc>
      </w:tr>
      <w:tr w:rsidR="0048189E" w:rsidRPr="00DE03AF" w:rsidTr="00F83C6B">
        <w:tc>
          <w:tcPr>
            <w:tcW w:w="2025" w:type="dxa"/>
            <w:vMerge w:val="restart"/>
            <w:shd w:val="clear" w:color="auto" w:fill="auto"/>
          </w:tcPr>
          <w:p w:rsidR="0048189E" w:rsidRPr="00F83C6B" w:rsidRDefault="00984DB3" w:rsidP="00C839E1">
            <w:pPr>
              <w:rPr>
                <w:rFonts w:ascii="Arial" w:hAnsi="Arial" w:cs="Arial"/>
              </w:rPr>
            </w:pPr>
            <w:r>
              <w:rPr>
                <w:rFonts w:ascii="Arial" w:hAnsi="Arial" w:cs="Arial"/>
                <w:noProof/>
                <w:lang w:val="es-ES"/>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F54AD6" w:rsidRPr="004E4D34" w:rsidRDefault="00984DB3" w:rsidP="00984DB3">
            <w:pPr>
              <w:autoSpaceDE w:val="0"/>
              <w:autoSpaceDN w:val="0"/>
              <w:adjustRightInd w:val="0"/>
              <w:spacing w:after="7" w:line="230" w:lineRule="exact"/>
              <w:rPr>
                <w:rFonts w:ascii="Arial" w:hAnsi="Arial" w:cs="Arial"/>
                <w:bCs/>
                <w:spacing w:val="-2"/>
                <w:sz w:val="18"/>
                <w:szCs w:val="18"/>
                <w:lang w:val="en-US"/>
              </w:rPr>
            </w:pPr>
            <w:r>
              <w:rPr>
                <w:rFonts w:ascii="Arial" w:hAnsi="Arial" w:cs="Arial"/>
                <w:sz w:val="20"/>
                <w:szCs w:val="20"/>
                <w:lang w:val="es-ES"/>
              </w:rPr>
              <w:t>Absorba el líquido derramado con un aglutinante universal adecuado y deposítelo, al igual que los residuos, en recipientes cerrados. Entréguelos al organismo responsable para su eliminación. En caso de pequeñas cantidades, éstas pueden diluirse con agua y verterse en el sistema de alcantarillado.</w:t>
            </w:r>
          </w:p>
        </w:tc>
      </w:tr>
      <w:tr w:rsidR="0048189E" w:rsidRPr="00F83C6B" w:rsidTr="00F83C6B">
        <w:tc>
          <w:tcPr>
            <w:tcW w:w="2025" w:type="dxa"/>
            <w:vMerge/>
            <w:shd w:val="clear" w:color="auto" w:fill="auto"/>
          </w:tcPr>
          <w:p w:rsidR="0048189E" w:rsidRPr="004E4D34" w:rsidRDefault="0048189E" w:rsidP="00C839E1">
            <w:pPr>
              <w:rPr>
                <w:rFonts w:ascii="Arial" w:hAnsi="Arial" w:cs="Arial"/>
                <w:lang w:val="en-US"/>
              </w:rPr>
            </w:pPr>
          </w:p>
        </w:tc>
        <w:tc>
          <w:tcPr>
            <w:tcW w:w="7263" w:type="dxa"/>
            <w:shd w:val="clear" w:color="auto" w:fill="auto"/>
          </w:tcPr>
          <w:p w:rsidR="0048189E" w:rsidRPr="00F83C6B" w:rsidRDefault="0048189E" w:rsidP="00C839E1">
            <w:pPr>
              <w:rPr>
                <w:rFonts w:ascii="Arial" w:hAnsi="Arial" w:cs="Arial"/>
                <w:b/>
                <w:bCs/>
                <w:sz w:val="18"/>
                <w:szCs w:val="18"/>
              </w:rPr>
            </w:pPr>
            <w:r>
              <w:rPr>
                <w:rFonts w:ascii="Arial" w:hAnsi="Arial" w:cs="Arial"/>
                <w:sz w:val="18"/>
                <w:szCs w:val="18"/>
                <w:lang w:val="es-ES"/>
              </w:rPr>
              <w:tab/>
            </w:r>
            <w:r>
              <w:rPr>
                <w:rFonts w:ascii="Arial" w:hAnsi="Arial" w:cs="Arial"/>
                <w:sz w:val="18"/>
                <w:szCs w:val="18"/>
                <w:lang w:val="es-ES"/>
              </w:rPr>
              <w:tab/>
            </w:r>
            <w:r>
              <w:rPr>
                <w:rFonts w:ascii="Arial" w:hAnsi="Arial" w:cs="Arial"/>
                <w:b/>
                <w:bCs/>
                <w:sz w:val="18"/>
                <w:szCs w:val="18"/>
                <w:lang w:val="es-ES"/>
              </w:rPr>
              <w:t>Elaboración</w:t>
            </w:r>
            <w:r>
              <w:rPr>
                <w:rFonts w:ascii="Arial" w:hAnsi="Arial" w:cs="Arial"/>
                <w:sz w:val="18"/>
                <w:szCs w:val="18"/>
                <w:lang w:val="es-ES"/>
              </w:rPr>
              <w:tab/>
            </w:r>
            <w:r>
              <w:rPr>
                <w:rFonts w:ascii="Arial" w:hAnsi="Arial" w:cs="Arial"/>
                <w:sz w:val="18"/>
                <w:szCs w:val="18"/>
                <w:lang w:val="es-ES"/>
              </w:rPr>
              <w:tab/>
            </w:r>
            <w:r>
              <w:rPr>
                <w:rFonts w:ascii="Arial" w:hAnsi="Arial" w:cs="Arial"/>
                <w:b/>
                <w:bCs/>
                <w:sz w:val="18"/>
                <w:szCs w:val="18"/>
                <w:lang w:val="es-ES"/>
              </w:rPr>
              <w:t>Revisión</w:t>
            </w:r>
            <w:r>
              <w:rPr>
                <w:rFonts w:ascii="Arial" w:hAnsi="Arial" w:cs="Arial"/>
                <w:sz w:val="18"/>
                <w:szCs w:val="18"/>
                <w:lang w:val="es-ES"/>
              </w:rPr>
              <w:tab/>
            </w:r>
            <w:r>
              <w:rPr>
                <w:rFonts w:ascii="Arial" w:hAnsi="Arial" w:cs="Arial"/>
                <w:sz w:val="18"/>
                <w:szCs w:val="18"/>
                <w:lang w:val="es-ES"/>
              </w:rPr>
              <w:tab/>
            </w:r>
            <w:r>
              <w:rPr>
                <w:rFonts w:ascii="Arial" w:hAnsi="Arial" w:cs="Arial"/>
                <w:b/>
                <w:bCs/>
                <w:sz w:val="18"/>
                <w:szCs w:val="18"/>
                <w:lang w:val="es-ES"/>
              </w:rPr>
              <w:t>Autorización</w:t>
            </w:r>
          </w:p>
          <w:p w:rsidR="0048189E" w:rsidRPr="00F83C6B" w:rsidRDefault="0048189E" w:rsidP="00C839E1">
            <w:pPr>
              <w:rPr>
                <w:rFonts w:ascii="Arial" w:hAnsi="Arial" w:cs="Arial"/>
                <w:b/>
                <w:bCs/>
                <w:sz w:val="18"/>
                <w:szCs w:val="18"/>
              </w:rPr>
            </w:pPr>
            <w:r>
              <w:rPr>
                <w:rFonts w:ascii="Arial" w:hAnsi="Arial" w:cs="Arial"/>
                <w:b/>
                <w:bCs/>
                <w:sz w:val="18"/>
                <w:szCs w:val="18"/>
                <w:lang w:val="es-ES"/>
              </w:rPr>
              <w:t>Fecha</w:t>
            </w:r>
          </w:p>
          <w:p w:rsidR="0048189E" w:rsidRPr="00F83C6B" w:rsidRDefault="0048189E" w:rsidP="00C839E1">
            <w:pPr>
              <w:rPr>
                <w:rFonts w:ascii="Arial" w:hAnsi="Arial" w:cs="Arial"/>
                <w:b/>
                <w:bCs/>
                <w:sz w:val="18"/>
                <w:szCs w:val="18"/>
              </w:rPr>
            </w:pPr>
            <w:r>
              <w:rPr>
                <w:rFonts w:ascii="Arial" w:hAnsi="Arial" w:cs="Arial"/>
                <w:b/>
                <w:bCs/>
                <w:sz w:val="18"/>
                <w:szCs w:val="18"/>
                <w:lang w:val="es-ES"/>
              </w:rPr>
              <w:t>Nombre</w:t>
            </w:r>
          </w:p>
          <w:p w:rsidR="0048189E" w:rsidRPr="00F83C6B" w:rsidRDefault="0048189E" w:rsidP="00C839E1">
            <w:pPr>
              <w:rPr>
                <w:rFonts w:ascii="Arial" w:hAnsi="Arial" w:cs="Arial"/>
                <w:bCs/>
                <w:spacing w:val="-2"/>
                <w:sz w:val="18"/>
                <w:szCs w:val="18"/>
              </w:rPr>
            </w:pPr>
            <w:r>
              <w:rPr>
                <w:rFonts w:ascii="Arial" w:hAnsi="Arial" w:cs="Arial"/>
                <w:b/>
                <w:bCs/>
                <w:sz w:val="18"/>
                <w:szCs w:val="18"/>
                <w:lang w:val="es-ES"/>
              </w:rPr>
              <w:t>Firma</w:t>
            </w:r>
          </w:p>
        </w:tc>
      </w:tr>
    </w:tbl>
    <w:p w:rsidR="00D664D0" w:rsidRPr="00C839E1" w:rsidRDefault="00D664D0" w:rsidP="00C839E1">
      <w:pPr>
        <w:rPr>
          <w:rFonts w:ascii="Arial" w:hAnsi="Arial" w:cs="Arial"/>
        </w:rPr>
      </w:pPr>
    </w:p>
    <w:sectPr w:rsidR="00D664D0" w:rsidRPr="00C839E1"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B3"/>
    <w:rsid w:val="00044630"/>
    <w:rsid w:val="001477D0"/>
    <w:rsid w:val="001D6575"/>
    <w:rsid w:val="001E2CF2"/>
    <w:rsid w:val="001F58AF"/>
    <w:rsid w:val="00232051"/>
    <w:rsid w:val="00290FA6"/>
    <w:rsid w:val="003B1A62"/>
    <w:rsid w:val="003B4F1C"/>
    <w:rsid w:val="0048189E"/>
    <w:rsid w:val="004B4916"/>
    <w:rsid w:val="004E4D34"/>
    <w:rsid w:val="005B5D41"/>
    <w:rsid w:val="005F5D24"/>
    <w:rsid w:val="00645973"/>
    <w:rsid w:val="00674E04"/>
    <w:rsid w:val="00694DF9"/>
    <w:rsid w:val="006D16BE"/>
    <w:rsid w:val="006F163F"/>
    <w:rsid w:val="007237EE"/>
    <w:rsid w:val="00780741"/>
    <w:rsid w:val="00792B6B"/>
    <w:rsid w:val="0086037E"/>
    <w:rsid w:val="008A7C66"/>
    <w:rsid w:val="008F6C6B"/>
    <w:rsid w:val="00900F60"/>
    <w:rsid w:val="00984DB3"/>
    <w:rsid w:val="009C3CB5"/>
    <w:rsid w:val="009E4313"/>
    <w:rsid w:val="00A25BB7"/>
    <w:rsid w:val="00AE17C9"/>
    <w:rsid w:val="00B137C4"/>
    <w:rsid w:val="00B74AE7"/>
    <w:rsid w:val="00BF1FF8"/>
    <w:rsid w:val="00C839E1"/>
    <w:rsid w:val="00CF2C6C"/>
    <w:rsid w:val="00D664D0"/>
    <w:rsid w:val="00DE03AF"/>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70318E-CC23-4AC9-A24C-CAD642F8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3</cp:revision>
  <cp:lastPrinted>2006-02-22T10:13:00Z</cp:lastPrinted>
  <dcterms:created xsi:type="dcterms:W3CDTF">2017-06-06T07:56:00Z</dcterms:created>
  <dcterms:modified xsi:type="dcterms:W3CDTF">2019-05-23T06:47:00Z</dcterms:modified>
</cp:coreProperties>
</file>